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25" w:rsidRDefault="00D07125" w:rsidP="00D0712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Notations from the Child &amp; Adult Care Meal Patterns</w:t>
      </w:r>
    </w:p>
    <w:p w:rsidR="00D07125" w:rsidRDefault="00D07125" w:rsidP="00D0712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and</w:t>
      </w:r>
    </w:p>
    <w:p w:rsidR="00D07125" w:rsidRPr="0058397A" w:rsidRDefault="00D07125" w:rsidP="00D0712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Production Records </w:t>
      </w:r>
      <w:r w:rsidR="008223B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23B7">
        <w:rPr>
          <w:sz w:val="28"/>
          <w:szCs w:val="28"/>
        </w:rPr>
        <w:t>FY 2018</w:t>
      </w:r>
      <w:bookmarkStart w:id="0" w:name="_GoBack"/>
      <w:bookmarkEnd w:id="0"/>
    </w:p>
    <w:p w:rsidR="00D07125" w:rsidRDefault="00D07125" w:rsidP="00D07125">
      <w:pPr>
        <w:pStyle w:val="BodyText"/>
        <w:jc w:val="left"/>
      </w:pPr>
    </w:p>
    <w:p w:rsidR="00D07125" w:rsidRPr="00230F5A" w:rsidRDefault="00D07125" w:rsidP="00D07125">
      <w:pPr>
        <w:pStyle w:val="BodyText"/>
        <w:jc w:val="left"/>
      </w:pPr>
      <w:r w:rsidRPr="00230F5A">
        <w:t>*Providers must serve all required components at each meal service for a reimbursable meal.  There is no ‘offer versus serve’</w:t>
      </w:r>
      <w:r>
        <w:t xml:space="preserve"> (OVS)</w:t>
      </w:r>
      <w:r w:rsidRPr="00230F5A">
        <w:t xml:space="preserve"> in the Child Care Program. Adult-only Programs (and CACFP Afterschool At-Risk) may request approval to use the ‘offer versus serve’ option for Breakfast, Lunch and Supper – no OVS for </w:t>
      </w:r>
      <w:r>
        <w:t xml:space="preserve">any </w:t>
      </w:r>
      <w:r w:rsidRPr="00230F5A">
        <w:t>snack meals. Snack meals require two (2) of the five (5) components to be served.</w:t>
      </w:r>
      <w:r w:rsidRPr="00230F5A">
        <w:br/>
        <w:t xml:space="preserve">                                                                                    </w:t>
      </w:r>
    </w:p>
    <w:p w:rsidR="00D07125" w:rsidRPr="00230F5A" w:rsidRDefault="00D07125" w:rsidP="00D07125">
      <w:pPr>
        <w:pStyle w:val="BodyText"/>
        <w:jc w:val="left"/>
      </w:pPr>
      <w:r w:rsidRPr="00230F5A">
        <w:t>**Bread</w:t>
      </w:r>
      <w:r>
        <w:t>s</w:t>
      </w:r>
      <w:r w:rsidRPr="00230F5A">
        <w:t>, pasta or noodle products, and cereal grains shall be whole grain</w:t>
      </w:r>
      <w:r>
        <w:t>-rich</w:t>
      </w:r>
      <w:r w:rsidRPr="00230F5A">
        <w:t xml:space="preserve"> or enriched; cornbread, biscuits, rolls, muffins, etc. shall be made with whole grain</w:t>
      </w:r>
      <w:r>
        <w:t>-rich</w:t>
      </w:r>
      <w:r w:rsidRPr="00230F5A">
        <w:t xml:space="preserve"> or enriched meal or flour; cereal shall be whole grain</w:t>
      </w:r>
      <w:r>
        <w:t>-rich</w:t>
      </w:r>
      <w:r w:rsidRPr="00230F5A">
        <w:t xml:space="preserve"> or enriched or fortified. </w:t>
      </w:r>
    </w:p>
    <w:p w:rsidR="00D07125" w:rsidRPr="00230F5A" w:rsidRDefault="00D07125" w:rsidP="00D07125">
      <w:pPr>
        <w:pStyle w:val="BodyText"/>
        <w:jc w:val="left"/>
      </w:pPr>
    </w:p>
    <w:p w:rsidR="00D07125" w:rsidRPr="001B0426" w:rsidRDefault="00D07125" w:rsidP="00D07125">
      <w:pPr>
        <w:pStyle w:val="BodyText"/>
        <w:jc w:val="left"/>
        <w:rPr>
          <w:color w:val="FF0000"/>
        </w:rPr>
      </w:pPr>
      <w:r w:rsidRPr="001B0426">
        <w:rPr>
          <w:color w:val="FF0000"/>
        </w:rPr>
        <w:t xml:space="preserve">*** These food items may be used to meet </w:t>
      </w:r>
      <w:r w:rsidRPr="0066168E">
        <w:rPr>
          <w:color w:val="FF0000"/>
          <w:u w:val="single"/>
        </w:rPr>
        <w:t>no more</w:t>
      </w:r>
      <w:r w:rsidRPr="001B0426">
        <w:rPr>
          <w:color w:val="FF0000"/>
        </w:rPr>
        <w:t xml:space="preserve"> than 50% of the meat/meat/alternate requirement.</w:t>
      </w:r>
    </w:p>
    <w:p w:rsidR="00D07125" w:rsidRPr="00230F5A" w:rsidRDefault="00D07125" w:rsidP="00D07125">
      <w:pPr>
        <w:pStyle w:val="BodyText"/>
        <w:jc w:val="left"/>
      </w:pPr>
    </w:p>
    <w:p w:rsidR="00D07125" w:rsidRPr="00230F5A" w:rsidRDefault="00D07125" w:rsidP="00D07125">
      <w:pPr>
        <w:pStyle w:val="BodyText"/>
        <w:jc w:val="left"/>
      </w:pPr>
      <w:r w:rsidRPr="00230F5A">
        <w:t>The following are numbered notations from the Child and Adult Care Meal Patterns</w:t>
      </w:r>
      <w:r>
        <w:t xml:space="preserve"> and Production Records -Meal Documentation</w:t>
      </w:r>
      <w:r w:rsidRPr="00230F5A">
        <w:t>:</w:t>
      </w:r>
    </w:p>
    <w:p w:rsidR="00D07125" w:rsidRPr="00230F5A" w:rsidRDefault="00D07125" w:rsidP="00D07125">
      <w:pPr>
        <w:pStyle w:val="BodyText"/>
        <w:jc w:val="left"/>
      </w:pPr>
    </w:p>
    <w:p w:rsidR="00D07125" w:rsidRPr="00230F5A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 w:rsidRPr="00230F5A">
        <w:rPr>
          <w:b w:val="0"/>
        </w:rPr>
        <w:t xml:space="preserve">Must be </w:t>
      </w:r>
      <w:r w:rsidRPr="00230F5A">
        <w:rPr>
          <w:b w:val="0"/>
          <w:u w:val="single"/>
        </w:rPr>
        <w:t>unflavored whole milk</w:t>
      </w:r>
      <w:r w:rsidRPr="00230F5A">
        <w:rPr>
          <w:b w:val="0"/>
        </w:rPr>
        <w:t xml:space="preserve"> for children age 1 up until they turn age 2. Must be unflavored low-fat (1%) or unflavored fat-free (skim) milk for children age 2 through 5 years old.  Must be unflavored low-fat (1%) or unflavored OR flavored fat-free (skim) milk for children 6 years old</w:t>
      </w:r>
      <w:r>
        <w:rPr>
          <w:b w:val="0"/>
        </w:rPr>
        <w:t xml:space="preserve"> and older and a</w:t>
      </w:r>
      <w:r w:rsidRPr="00230F5A">
        <w:rPr>
          <w:b w:val="0"/>
        </w:rPr>
        <w:t xml:space="preserve">dult participants.  </w:t>
      </w:r>
      <w:r w:rsidRPr="00230F5A">
        <w:rPr>
          <w:b w:val="0"/>
          <w:color w:val="0000FF"/>
        </w:rPr>
        <w:t>NOTE: For Adult participants only, 6 ounces (weight) or ¾ cup (volume) of yogurt may be used to meet the equivalent of 8 ounces of fluid milk once per day when yogurt is not served as a meat alternate in the same meal.  A serving of fluid milk is optional for suppers to Adult participants.</w:t>
      </w:r>
    </w:p>
    <w:p w:rsidR="00D07125" w:rsidRPr="00230F5A" w:rsidRDefault="00D07125" w:rsidP="00D07125">
      <w:pPr>
        <w:pStyle w:val="BodyText"/>
        <w:ind w:left="720"/>
        <w:jc w:val="left"/>
        <w:rPr>
          <w:b w:val="0"/>
        </w:rPr>
      </w:pPr>
    </w:p>
    <w:p w:rsidR="00D07125" w:rsidRPr="00230F5A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 w:rsidRPr="00230F5A">
        <w:rPr>
          <w:b w:val="0"/>
        </w:rPr>
        <w:t xml:space="preserve">Pasteurized full-strength juice may be used to meet the vegetable or fruit requirement at one meal, including snack per day.  </w:t>
      </w:r>
      <w:r w:rsidRPr="00230F5A">
        <w:rPr>
          <w:b w:val="0"/>
          <w:color w:val="0000FF"/>
        </w:rPr>
        <w:t>NOTE: Arkansas HNP Procedure states that juice can be served only 3 times per week – all meals/snacks included.</w:t>
      </w:r>
    </w:p>
    <w:p w:rsidR="00D07125" w:rsidRPr="00230F5A" w:rsidRDefault="00D07125" w:rsidP="00D07125">
      <w:pPr>
        <w:pStyle w:val="BodyText"/>
        <w:jc w:val="left"/>
        <w:rPr>
          <w:b w:val="0"/>
          <w:color w:val="0000FF"/>
        </w:rPr>
      </w:pPr>
    </w:p>
    <w:p w:rsidR="00D07125" w:rsidRPr="00230F5A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 w:rsidRPr="00230F5A">
        <w:rPr>
          <w:b w:val="0"/>
        </w:rPr>
        <w:t>Meat/meat alternates may be used to meet the entire grains requirement a maximum of 3 times a week at Breakfast. One ounce of meat/meat alternate is equal to one ounce equivalent of grains.</w:t>
      </w:r>
    </w:p>
    <w:p w:rsidR="00D07125" w:rsidRPr="00230F5A" w:rsidRDefault="00D07125" w:rsidP="00D07125">
      <w:pPr>
        <w:pStyle w:val="BodyText"/>
        <w:jc w:val="left"/>
        <w:rPr>
          <w:b w:val="0"/>
          <w:color w:val="0000FF"/>
        </w:rPr>
      </w:pPr>
    </w:p>
    <w:p w:rsidR="00D07125" w:rsidRPr="00230F5A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 w:rsidRPr="00230F5A">
        <w:rPr>
          <w:b w:val="0"/>
        </w:rPr>
        <w:t>Alternate protein products must meet the requirements in Appendix A to CFR Part 226.</w:t>
      </w:r>
    </w:p>
    <w:p w:rsidR="00D07125" w:rsidRPr="00230F5A" w:rsidRDefault="00D07125" w:rsidP="00D07125">
      <w:pPr>
        <w:pStyle w:val="BodyText"/>
        <w:ind w:left="720"/>
        <w:jc w:val="left"/>
        <w:rPr>
          <w:b w:val="0"/>
          <w:color w:val="0000FF"/>
        </w:rPr>
      </w:pPr>
    </w:p>
    <w:p w:rsidR="00D07125" w:rsidRPr="00230F5A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 w:rsidRPr="00230F5A">
        <w:rPr>
          <w:b w:val="0"/>
        </w:rPr>
        <w:t>Yogurt must contain no more than 23 grams of total sugars per 6 ounces.</w:t>
      </w:r>
    </w:p>
    <w:p w:rsidR="00D07125" w:rsidRPr="00230F5A" w:rsidRDefault="00D07125" w:rsidP="00D07125">
      <w:pPr>
        <w:pStyle w:val="BodyText"/>
        <w:jc w:val="left"/>
        <w:rPr>
          <w:b w:val="0"/>
          <w:color w:val="0000FF"/>
        </w:rPr>
      </w:pPr>
    </w:p>
    <w:p w:rsidR="00D07125" w:rsidRPr="00230F5A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 w:rsidRPr="00230F5A">
        <w:t>Beginning October 1, 2019</w:t>
      </w:r>
      <w:r w:rsidRPr="00230F5A">
        <w:rPr>
          <w:b w:val="0"/>
        </w:rPr>
        <w:t>, ounce equivalents will be used to determine the quantity of creditable grains.</w:t>
      </w:r>
    </w:p>
    <w:p w:rsidR="00D07125" w:rsidRPr="00230F5A" w:rsidRDefault="00D07125" w:rsidP="00D07125">
      <w:pPr>
        <w:pStyle w:val="BodyText"/>
        <w:jc w:val="left"/>
        <w:rPr>
          <w:b w:val="0"/>
          <w:color w:val="0000FF"/>
        </w:rPr>
      </w:pPr>
    </w:p>
    <w:p w:rsidR="00D07125" w:rsidRPr="00230F5A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 w:rsidRPr="00230F5A">
        <w:rPr>
          <w:b w:val="0"/>
        </w:rPr>
        <w:t>Breakfast cereals must contain no more than 6 grams of sugar per dry ounce (no more than 21 grams sucrose and other sugars per 100 grams of dry cereal).</w:t>
      </w:r>
    </w:p>
    <w:p w:rsidR="00D07125" w:rsidRPr="00230F5A" w:rsidRDefault="00D07125" w:rsidP="00D07125">
      <w:pPr>
        <w:pStyle w:val="BodyText"/>
        <w:jc w:val="left"/>
        <w:rPr>
          <w:b w:val="0"/>
          <w:color w:val="0000FF"/>
        </w:rPr>
      </w:pPr>
    </w:p>
    <w:p w:rsidR="00D07125" w:rsidRPr="009A1768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  <w:u w:val="single"/>
        </w:rPr>
      </w:pPr>
      <w:r w:rsidRPr="00230F5A">
        <w:rPr>
          <w:b w:val="0"/>
        </w:rPr>
        <w:t xml:space="preserve">At least one serving per day, across all eating occasions, must be whole grain-rich.  </w:t>
      </w:r>
      <w:r w:rsidRPr="009A1768">
        <w:rPr>
          <w:b w:val="0"/>
          <w:u w:val="single"/>
        </w:rPr>
        <w:t>Grain-based desserts do not count towards the grains requirement.</w:t>
      </w:r>
      <w:r>
        <w:rPr>
          <w:b w:val="0"/>
          <w:u w:val="single"/>
        </w:rPr>
        <w:t xml:space="preserve"> </w:t>
      </w:r>
      <w:r>
        <w:t xml:space="preserve"> Refer to the new USDA Grain Requirements for CACFP.</w:t>
      </w:r>
    </w:p>
    <w:p w:rsidR="00D07125" w:rsidRPr="00230F5A" w:rsidRDefault="00D07125" w:rsidP="00D07125">
      <w:pPr>
        <w:pStyle w:val="BodyText"/>
        <w:jc w:val="left"/>
        <w:rPr>
          <w:b w:val="0"/>
          <w:color w:val="0000FF"/>
        </w:rPr>
      </w:pPr>
    </w:p>
    <w:p w:rsidR="00D07125" w:rsidRPr="00230F5A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 w:rsidRPr="00230F5A">
        <w:t>Beginning October 1, 2019</w:t>
      </w:r>
      <w:r w:rsidRPr="00230F5A">
        <w:rPr>
          <w:b w:val="0"/>
        </w:rPr>
        <w:t>, the minimum serving size specified in this section for ready-to-eat breakfast cereal must be served.  Until October 2019, the minimum serving size for any type of ready-to-eat breakfasts cereals is ¼ cup for children ages 1-2; 1/3 cup for children ages 3-5; ¾ cup for children ages 6-12; and 1 ½ cups for adults.</w:t>
      </w:r>
    </w:p>
    <w:p w:rsidR="00D07125" w:rsidRPr="00230F5A" w:rsidRDefault="00D07125" w:rsidP="00D07125">
      <w:pPr>
        <w:pStyle w:val="BodyText"/>
        <w:jc w:val="left"/>
        <w:rPr>
          <w:b w:val="0"/>
          <w:color w:val="0000FF"/>
        </w:rPr>
      </w:pPr>
    </w:p>
    <w:p w:rsidR="00D07125" w:rsidRPr="00230F5A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 w:rsidRPr="00230F5A">
        <w:rPr>
          <w:b w:val="0"/>
        </w:rPr>
        <w:t xml:space="preserve"> Select 2 of the 5 components for a reimbursable snack.  Only one of the two components can be a beverage.</w:t>
      </w:r>
    </w:p>
    <w:p w:rsidR="00D07125" w:rsidRPr="00230F5A" w:rsidRDefault="00D07125" w:rsidP="00D07125">
      <w:pPr>
        <w:pStyle w:val="BodyText"/>
        <w:jc w:val="left"/>
        <w:rPr>
          <w:b w:val="0"/>
          <w:color w:val="0000FF"/>
        </w:rPr>
      </w:pPr>
    </w:p>
    <w:p w:rsidR="00D07125" w:rsidRPr="004D51FB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 w:rsidRPr="00230F5A">
        <w:rPr>
          <w:b w:val="0"/>
        </w:rPr>
        <w:t xml:space="preserve"> Vegetables may be served to meet both the vegetable and fruit components.  When two </w:t>
      </w:r>
      <w:r>
        <w:rPr>
          <w:b w:val="0"/>
        </w:rPr>
        <w:t xml:space="preserve">  </w:t>
      </w:r>
      <w:r w:rsidRPr="00230F5A">
        <w:rPr>
          <w:b w:val="0"/>
        </w:rPr>
        <w:t>vegetables are served at lunch or supper, two different kinds of vegetables must be served.</w:t>
      </w:r>
    </w:p>
    <w:p w:rsidR="00D07125" w:rsidRDefault="00D07125" w:rsidP="00D07125">
      <w:pPr>
        <w:pStyle w:val="ListParagraph"/>
        <w:rPr>
          <w:b/>
          <w:color w:val="0000FF"/>
        </w:rPr>
      </w:pPr>
    </w:p>
    <w:p w:rsidR="00D07125" w:rsidRPr="00230F5A" w:rsidRDefault="00D07125" w:rsidP="00D07125">
      <w:pPr>
        <w:pStyle w:val="BodyText"/>
        <w:numPr>
          <w:ilvl w:val="0"/>
          <w:numId w:val="1"/>
        </w:numPr>
        <w:jc w:val="left"/>
        <w:rPr>
          <w:b w:val="0"/>
          <w:color w:val="0000FF"/>
        </w:rPr>
      </w:pPr>
      <w:r>
        <w:rPr>
          <w:b w:val="0"/>
          <w:color w:val="0000FF"/>
        </w:rPr>
        <w:t xml:space="preserve"> </w:t>
      </w:r>
      <w:r>
        <w:rPr>
          <w:b w:val="0"/>
        </w:rPr>
        <w:t>Two (2) servings or the equivalent required for adult participants.</w:t>
      </w:r>
    </w:p>
    <w:p w:rsidR="00BB7F70" w:rsidRDefault="00BB7F70"/>
    <w:sectPr w:rsidR="00BB7F70" w:rsidSect="00D071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15B4E"/>
    <w:multiLevelType w:val="hybridMultilevel"/>
    <w:tmpl w:val="2410FC8C"/>
    <w:lvl w:ilvl="0" w:tplc="46745B2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25"/>
    <w:rsid w:val="008223B7"/>
    <w:rsid w:val="00BB7F70"/>
    <w:rsid w:val="00D0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6EF7"/>
  <w15:docId w15:val="{6C31AA89-4A23-471E-A6AF-F9F82224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071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07125"/>
    <w:rPr>
      <w:rFonts w:eastAsia="Times New Roman" w:cs="Times New Roman"/>
      <w:b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07125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Dennis</dc:creator>
  <cp:lastModifiedBy>Cindy Dennis</cp:lastModifiedBy>
  <cp:revision>2</cp:revision>
  <dcterms:created xsi:type="dcterms:W3CDTF">2017-01-31T17:11:00Z</dcterms:created>
  <dcterms:modified xsi:type="dcterms:W3CDTF">2017-06-14T15:21:00Z</dcterms:modified>
</cp:coreProperties>
</file>